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63" w:rsidRPr="00C674C6" w:rsidRDefault="00F95779" w:rsidP="00F95779">
      <w:pPr>
        <w:spacing w:after="0"/>
        <w:jc w:val="center"/>
        <w:rPr>
          <w:b/>
          <w:sz w:val="48"/>
          <w:szCs w:val="48"/>
        </w:rPr>
      </w:pPr>
      <w:bookmarkStart w:id="0" w:name="_GoBack"/>
      <w:bookmarkEnd w:id="0"/>
      <w:r w:rsidRPr="00C674C6">
        <w:rPr>
          <w:b/>
          <w:sz w:val="48"/>
          <w:szCs w:val="48"/>
        </w:rPr>
        <w:t xml:space="preserve">Quatre profils de besoins </w:t>
      </w:r>
      <w:r w:rsidR="00C674C6">
        <w:rPr>
          <w:b/>
          <w:sz w:val="48"/>
          <w:szCs w:val="48"/>
        </w:rPr>
        <w:t xml:space="preserve">- </w:t>
      </w:r>
      <w:r w:rsidRPr="00C674C6">
        <w:rPr>
          <w:b/>
          <w:sz w:val="48"/>
          <w:szCs w:val="48"/>
        </w:rPr>
        <w:t xml:space="preserve">services socioprofessionnels </w:t>
      </w:r>
    </w:p>
    <w:p w:rsidR="00F95779" w:rsidRPr="00C674C6" w:rsidRDefault="00C674C6" w:rsidP="00C674C6">
      <w:pPr>
        <w:spacing w:after="0"/>
        <w:jc w:val="center"/>
        <w:rPr>
          <w:b/>
          <w:sz w:val="32"/>
          <w:szCs w:val="32"/>
        </w:rPr>
      </w:pPr>
      <w:r>
        <w:rPr>
          <w:b/>
          <w:sz w:val="32"/>
          <w:szCs w:val="32"/>
        </w:rPr>
        <w:t>Présentation au CA de l’</w:t>
      </w:r>
      <w:r w:rsidR="00F95779" w:rsidRPr="00C674C6">
        <w:rPr>
          <w:b/>
          <w:sz w:val="32"/>
          <w:szCs w:val="32"/>
        </w:rPr>
        <w:t xml:space="preserve">AQRIPH le 18 avril </w:t>
      </w:r>
      <w:r>
        <w:rPr>
          <w:b/>
          <w:sz w:val="32"/>
          <w:szCs w:val="32"/>
        </w:rPr>
        <w:t xml:space="preserve">2016 </w:t>
      </w:r>
      <w:r w:rsidR="00F95779" w:rsidRPr="00C674C6">
        <w:rPr>
          <w:b/>
          <w:sz w:val="32"/>
          <w:szCs w:val="32"/>
        </w:rPr>
        <w:t>- Jean Dupont</w:t>
      </w:r>
      <w:r>
        <w:rPr>
          <w:b/>
          <w:sz w:val="32"/>
          <w:szCs w:val="32"/>
        </w:rPr>
        <w:t>, MSSS</w:t>
      </w:r>
    </w:p>
    <w:tbl>
      <w:tblPr>
        <w:tblStyle w:val="Grilledutableau"/>
        <w:tblW w:w="0" w:type="auto"/>
        <w:tblLook w:val="04A0" w:firstRow="1" w:lastRow="0" w:firstColumn="1" w:lastColumn="0" w:noHBand="0" w:noVBand="1"/>
      </w:tblPr>
      <w:tblGrid>
        <w:gridCol w:w="6469"/>
        <w:gridCol w:w="6481"/>
      </w:tblGrid>
      <w:tr w:rsidR="007D143C" w:rsidRPr="007D143C" w:rsidTr="007D143C">
        <w:tc>
          <w:tcPr>
            <w:tcW w:w="13100" w:type="dxa"/>
            <w:gridSpan w:val="2"/>
            <w:shd w:val="clear" w:color="auto" w:fill="595959" w:themeFill="text1" w:themeFillTint="A6"/>
          </w:tcPr>
          <w:p w:rsidR="00F95779" w:rsidRPr="007D143C" w:rsidRDefault="00F95779" w:rsidP="00F95779">
            <w:pPr>
              <w:jc w:val="center"/>
              <w:rPr>
                <w:b/>
                <w:color w:val="FFFFFF" w:themeColor="background1"/>
                <w:sz w:val="32"/>
                <w:szCs w:val="32"/>
              </w:rPr>
            </w:pPr>
            <w:r w:rsidRPr="007D143C">
              <w:rPr>
                <w:b/>
                <w:color w:val="FFFFFF" w:themeColor="background1"/>
                <w:sz w:val="32"/>
                <w:szCs w:val="32"/>
              </w:rPr>
              <w:t>Projet de vie de la personne – but : demeurer active et se sentir valorisée par des activités</w:t>
            </w:r>
          </w:p>
          <w:p w:rsidR="00F95779" w:rsidRPr="007D143C" w:rsidRDefault="00F95779" w:rsidP="00F95779">
            <w:pPr>
              <w:jc w:val="center"/>
              <w:rPr>
                <w:b/>
                <w:color w:val="FFFFFF" w:themeColor="background1"/>
                <w:sz w:val="32"/>
                <w:szCs w:val="32"/>
              </w:rPr>
            </w:pPr>
          </w:p>
        </w:tc>
      </w:tr>
      <w:tr w:rsidR="00F95779" w:rsidTr="00C674C6">
        <w:tc>
          <w:tcPr>
            <w:tcW w:w="6550" w:type="dxa"/>
            <w:shd w:val="clear" w:color="auto" w:fill="C2D69B" w:themeFill="accent3" w:themeFillTint="99"/>
          </w:tcPr>
          <w:p w:rsidR="00F95779" w:rsidRPr="007D143C" w:rsidRDefault="00F95779" w:rsidP="007D143C">
            <w:pPr>
              <w:jc w:val="center"/>
              <w:rPr>
                <w:b/>
                <w:sz w:val="28"/>
                <w:szCs w:val="28"/>
              </w:rPr>
            </w:pPr>
            <w:r w:rsidRPr="007D143C">
              <w:rPr>
                <w:b/>
                <w:sz w:val="28"/>
                <w:szCs w:val="28"/>
              </w:rPr>
              <w:t>Profil de la personne : Activités de jour</w:t>
            </w:r>
          </w:p>
        </w:tc>
        <w:tc>
          <w:tcPr>
            <w:tcW w:w="6550" w:type="dxa"/>
            <w:shd w:val="clear" w:color="auto" w:fill="C2D69B" w:themeFill="accent3" w:themeFillTint="99"/>
          </w:tcPr>
          <w:p w:rsidR="00F95779" w:rsidRDefault="00F95779" w:rsidP="00F95779">
            <w:pPr>
              <w:pStyle w:val="Paragraphedeliste"/>
              <w:numPr>
                <w:ilvl w:val="0"/>
                <w:numId w:val="1"/>
              </w:numPr>
              <w:jc w:val="both"/>
            </w:pPr>
            <w:r>
              <w:t xml:space="preserve">Les personnes ayant une déficience, âgées de 21 ans et plus, dont la scolarisation est terminée dont les capacités limitent significativement la possibilité d’intégrer un emploi et qui choisissent ce type d’activités; </w:t>
            </w:r>
          </w:p>
          <w:p w:rsidR="00F95779" w:rsidRDefault="00F95779" w:rsidP="00F95779">
            <w:pPr>
              <w:pStyle w:val="Paragraphedeliste"/>
              <w:numPr>
                <w:ilvl w:val="0"/>
                <w:numId w:val="1"/>
              </w:numPr>
              <w:jc w:val="both"/>
            </w:pPr>
            <w:r>
              <w:t>Les personnes ayant une déficience ayant terminé une démarche de développement de l’employabilité qui n’ont pas atteint un niveau d’employabilité permettant une intégration en emploi régulier ou adapté et choisissent ce type d’activités.</w:t>
            </w:r>
          </w:p>
          <w:p w:rsidR="007D143C" w:rsidRDefault="007D143C" w:rsidP="007D143C">
            <w:pPr>
              <w:pStyle w:val="Paragraphedeliste"/>
              <w:jc w:val="both"/>
            </w:pPr>
          </w:p>
        </w:tc>
      </w:tr>
      <w:tr w:rsidR="00F95779" w:rsidTr="00C674C6">
        <w:tc>
          <w:tcPr>
            <w:tcW w:w="6550" w:type="dxa"/>
            <w:shd w:val="clear" w:color="auto" w:fill="D6E3BC" w:themeFill="accent3" w:themeFillTint="66"/>
          </w:tcPr>
          <w:p w:rsidR="00F95779" w:rsidRPr="007D143C" w:rsidRDefault="00F95779" w:rsidP="007D143C">
            <w:pPr>
              <w:jc w:val="center"/>
              <w:rPr>
                <w:b/>
              </w:rPr>
            </w:pPr>
            <w:r w:rsidRPr="007D143C">
              <w:rPr>
                <w:b/>
              </w:rPr>
              <w:t>Besoins</w:t>
            </w:r>
          </w:p>
        </w:tc>
        <w:tc>
          <w:tcPr>
            <w:tcW w:w="6550" w:type="dxa"/>
            <w:shd w:val="clear" w:color="auto" w:fill="D6E3BC" w:themeFill="accent3" w:themeFillTint="66"/>
          </w:tcPr>
          <w:p w:rsidR="00F95779" w:rsidRDefault="00F95779" w:rsidP="00F95779">
            <w:pPr>
              <w:pStyle w:val="Paragraphedeliste"/>
              <w:numPr>
                <w:ilvl w:val="0"/>
                <w:numId w:val="1"/>
              </w:numPr>
              <w:jc w:val="both"/>
            </w:pPr>
            <w:r>
              <w:t>Développer l’autonomie ou maintenir les capacités des personnes;</w:t>
            </w:r>
          </w:p>
          <w:p w:rsidR="00F95779" w:rsidRDefault="00F95779" w:rsidP="00F95779">
            <w:pPr>
              <w:pStyle w:val="Paragraphedeliste"/>
              <w:numPr>
                <w:ilvl w:val="0"/>
                <w:numId w:val="1"/>
              </w:numPr>
              <w:jc w:val="both"/>
            </w:pPr>
            <w:r>
              <w:t>Avoir des contacts sociaux;</w:t>
            </w:r>
          </w:p>
          <w:p w:rsidR="00F95779" w:rsidRDefault="00F95779" w:rsidP="00F95779">
            <w:pPr>
              <w:pStyle w:val="Paragraphedeliste"/>
              <w:numPr>
                <w:ilvl w:val="0"/>
                <w:numId w:val="1"/>
              </w:numPr>
              <w:jc w:val="both"/>
            </w:pPr>
            <w:r>
              <w:t>Participer à des activités variées et stimulantes dans la communauté.</w:t>
            </w:r>
          </w:p>
          <w:p w:rsidR="007D143C" w:rsidRDefault="007D143C" w:rsidP="007D143C">
            <w:pPr>
              <w:pStyle w:val="Paragraphedeliste"/>
              <w:jc w:val="both"/>
            </w:pPr>
          </w:p>
        </w:tc>
      </w:tr>
      <w:tr w:rsidR="00F95779" w:rsidTr="00C674C6">
        <w:tc>
          <w:tcPr>
            <w:tcW w:w="6550" w:type="dxa"/>
            <w:shd w:val="clear" w:color="auto" w:fill="B2A1C7" w:themeFill="accent4" w:themeFillTint="99"/>
          </w:tcPr>
          <w:p w:rsidR="00F95779" w:rsidRPr="007D143C" w:rsidRDefault="00F95779" w:rsidP="007D143C">
            <w:pPr>
              <w:jc w:val="center"/>
              <w:rPr>
                <w:b/>
                <w:sz w:val="28"/>
                <w:szCs w:val="28"/>
              </w:rPr>
            </w:pPr>
            <w:r w:rsidRPr="007D143C">
              <w:rPr>
                <w:b/>
                <w:sz w:val="28"/>
                <w:szCs w:val="28"/>
              </w:rPr>
              <w:t>Profil de la personne : Activités contributives ou contribution dans la communauté</w:t>
            </w:r>
          </w:p>
        </w:tc>
        <w:tc>
          <w:tcPr>
            <w:tcW w:w="6550" w:type="dxa"/>
            <w:shd w:val="clear" w:color="auto" w:fill="B2A1C7" w:themeFill="accent4" w:themeFillTint="99"/>
          </w:tcPr>
          <w:p w:rsidR="00F95779" w:rsidRDefault="00F95779" w:rsidP="00F95779">
            <w:pPr>
              <w:pStyle w:val="Paragraphedeliste"/>
              <w:numPr>
                <w:ilvl w:val="0"/>
                <w:numId w:val="1"/>
              </w:numPr>
              <w:jc w:val="both"/>
            </w:pPr>
            <w:r>
              <w:t>Les personnes ayant une déficience, âgées de 21 ans et plus, dont la scolarisation est terminée qui n’ont pas les capacités pour entreprendre une démarche vers l’emploi ou qui choisissent une autre démarche qui correspond à leur projet de vie; dans certains cas pour des jeunes d’au moins 16 ans ayant quitté l’école;</w:t>
            </w:r>
          </w:p>
          <w:p w:rsidR="00F95779" w:rsidRDefault="00F95779" w:rsidP="00F95779">
            <w:pPr>
              <w:pStyle w:val="Paragraphedeliste"/>
              <w:numPr>
                <w:ilvl w:val="0"/>
                <w:numId w:val="1"/>
              </w:numPr>
              <w:jc w:val="both"/>
            </w:pPr>
            <w:r>
              <w:t>Les personnes ayant une déficience ayant terminé une démarche de développement de l’employabilité, mais qui n’atteigne pas un niveau d’employabilité permettant une intégration en emploi régulier ou adapté.</w:t>
            </w:r>
          </w:p>
          <w:p w:rsidR="00F95779" w:rsidRDefault="00F95779" w:rsidP="00F95779">
            <w:pPr>
              <w:jc w:val="both"/>
            </w:pPr>
          </w:p>
        </w:tc>
      </w:tr>
      <w:tr w:rsidR="00F95779" w:rsidTr="00C674C6">
        <w:tc>
          <w:tcPr>
            <w:tcW w:w="6550" w:type="dxa"/>
            <w:shd w:val="clear" w:color="auto" w:fill="CCC0D9" w:themeFill="accent4" w:themeFillTint="66"/>
          </w:tcPr>
          <w:p w:rsidR="00F95779" w:rsidRPr="007D143C" w:rsidRDefault="00F95779" w:rsidP="007D143C">
            <w:pPr>
              <w:jc w:val="center"/>
              <w:rPr>
                <w:b/>
              </w:rPr>
            </w:pPr>
            <w:r w:rsidRPr="007D143C">
              <w:rPr>
                <w:b/>
              </w:rPr>
              <w:t>Besoins</w:t>
            </w:r>
          </w:p>
        </w:tc>
        <w:tc>
          <w:tcPr>
            <w:tcW w:w="6550" w:type="dxa"/>
            <w:shd w:val="clear" w:color="auto" w:fill="CCC0D9" w:themeFill="accent4" w:themeFillTint="66"/>
          </w:tcPr>
          <w:p w:rsidR="007D143C" w:rsidRDefault="007D143C" w:rsidP="007D143C">
            <w:pPr>
              <w:pStyle w:val="Paragraphedeliste"/>
              <w:numPr>
                <w:ilvl w:val="0"/>
                <w:numId w:val="1"/>
              </w:numPr>
              <w:jc w:val="both"/>
            </w:pPr>
            <w:r>
              <w:t>Développer l’autonomie ou maintenir les capacités des personnes;</w:t>
            </w:r>
          </w:p>
          <w:p w:rsidR="007D143C" w:rsidRDefault="007D143C" w:rsidP="007D143C">
            <w:pPr>
              <w:pStyle w:val="Paragraphedeliste"/>
              <w:numPr>
                <w:ilvl w:val="0"/>
                <w:numId w:val="1"/>
              </w:numPr>
              <w:jc w:val="both"/>
            </w:pPr>
            <w:r>
              <w:t>Avoir des contacts sociaux;</w:t>
            </w:r>
          </w:p>
          <w:p w:rsidR="00F95779" w:rsidRDefault="007D143C" w:rsidP="007D143C">
            <w:pPr>
              <w:pStyle w:val="Paragraphedeliste"/>
              <w:numPr>
                <w:ilvl w:val="0"/>
                <w:numId w:val="1"/>
              </w:numPr>
              <w:jc w:val="both"/>
            </w:pPr>
            <w:r>
              <w:t>Participer à des activités valorisées socialement; se sentir utile par le travail;</w:t>
            </w:r>
          </w:p>
          <w:p w:rsidR="007D143C" w:rsidRDefault="007D143C" w:rsidP="00C674C6">
            <w:pPr>
              <w:pStyle w:val="Paragraphedeliste"/>
              <w:numPr>
                <w:ilvl w:val="0"/>
                <w:numId w:val="1"/>
              </w:numPr>
              <w:jc w:val="both"/>
            </w:pPr>
            <w:r>
              <w:t>Obtenir une reconnaissance financière ou matérielle pour l’effort fourni.</w:t>
            </w:r>
          </w:p>
        </w:tc>
      </w:tr>
    </w:tbl>
    <w:p w:rsidR="00F95779" w:rsidRDefault="00F95779" w:rsidP="00F95779">
      <w:pPr>
        <w:spacing w:after="0"/>
        <w:jc w:val="both"/>
      </w:pPr>
    </w:p>
    <w:p w:rsidR="007D143C" w:rsidRDefault="007D143C" w:rsidP="00F95779">
      <w:pPr>
        <w:spacing w:after="0"/>
        <w:jc w:val="both"/>
      </w:pPr>
    </w:p>
    <w:p w:rsidR="007D143C" w:rsidRDefault="007D143C" w:rsidP="00F95779">
      <w:pPr>
        <w:spacing w:after="0"/>
        <w:jc w:val="both"/>
      </w:pPr>
    </w:p>
    <w:tbl>
      <w:tblPr>
        <w:tblStyle w:val="Grilledutableau"/>
        <w:tblW w:w="0" w:type="auto"/>
        <w:tblLook w:val="04A0" w:firstRow="1" w:lastRow="0" w:firstColumn="1" w:lastColumn="0" w:noHBand="0" w:noVBand="1"/>
      </w:tblPr>
      <w:tblGrid>
        <w:gridCol w:w="6469"/>
        <w:gridCol w:w="6481"/>
      </w:tblGrid>
      <w:tr w:rsidR="007D143C" w:rsidRPr="007D143C" w:rsidTr="00A403F7">
        <w:tc>
          <w:tcPr>
            <w:tcW w:w="13100" w:type="dxa"/>
            <w:gridSpan w:val="2"/>
            <w:shd w:val="clear" w:color="auto" w:fill="595959" w:themeFill="text1" w:themeFillTint="A6"/>
          </w:tcPr>
          <w:p w:rsidR="007D143C" w:rsidRPr="007D143C" w:rsidRDefault="007D143C" w:rsidP="00A403F7">
            <w:pPr>
              <w:jc w:val="center"/>
              <w:rPr>
                <w:b/>
                <w:color w:val="FFFFFF" w:themeColor="background1"/>
                <w:sz w:val="32"/>
                <w:szCs w:val="32"/>
              </w:rPr>
            </w:pPr>
            <w:r w:rsidRPr="007D143C">
              <w:rPr>
                <w:b/>
                <w:color w:val="FFFFFF" w:themeColor="background1"/>
                <w:sz w:val="32"/>
                <w:szCs w:val="32"/>
              </w:rPr>
              <w:t xml:space="preserve">Projet de vie de la personne – but : </w:t>
            </w:r>
            <w:r>
              <w:rPr>
                <w:b/>
                <w:color w:val="FFFFFF" w:themeColor="background1"/>
                <w:sz w:val="32"/>
                <w:szCs w:val="32"/>
              </w:rPr>
              <w:t>Occuper un emploi</w:t>
            </w:r>
          </w:p>
          <w:p w:rsidR="007D143C" w:rsidRPr="007D143C" w:rsidRDefault="007D143C" w:rsidP="00A403F7">
            <w:pPr>
              <w:jc w:val="center"/>
              <w:rPr>
                <w:b/>
                <w:color w:val="FFFFFF" w:themeColor="background1"/>
                <w:sz w:val="32"/>
                <w:szCs w:val="32"/>
              </w:rPr>
            </w:pPr>
          </w:p>
        </w:tc>
      </w:tr>
      <w:tr w:rsidR="007D143C" w:rsidTr="00F331D3">
        <w:tc>
          <w:tcPr>
            <w:tcW w:w="6550" w:type="dxa"/>
            <w:shd w:val="clear" w:color="auto" w:fill="92CDDC" w:themeFill="accent5" w:themeFillTint="99"/>
          </w:tcPr>
          <w:p w:rsidR="007D143C" w:rsidRPr="007D143C" w:rsidRDefault="007D143C" w:rsidP="007D143C">
            <w:pPr>
              <w:jc w:val="center"/>
              <w:rPr>
                <w:b/>
                <w:sz w:val="28"/>
                <w:szCs w:val="28"/>
              </w:rPr>
            </w:pPr>
            <w:r>
              <w:rPr>
                <w:b/>
                <w:sz w:val="28"/>
                <w:szCs w:val="28"/>
              </w:rPr>
              <w:t>Profil de la personne : développement de l’employabilité</w:t>
            </w:r>
          </w:p>
        </w:tc>
        <w:tc>
          <w:tcPr>
            <w:tcW w:w="6550" w:type="dxa"/>
            <w:shd w:val="clear" w:color="auto" w:fill="92CDDC" w:themeFill="accent5" w:themeFillTint="99"/>
          </w:tcPr>
          <w:p w:rsidR="007D143C" w:rsidRDefault="007D143C" w:rsidP="007D143C">
            <w:pPr>
              <w:pStyle w:val="Paragraphedeliste"/>
              <w:numPr>
                <w:ilvl w:val="0"/>
                <w:numId w:val="1"/>
              </w:numPr>
              <w:jc w:val="both"/>
            </w:pPr>
            <w:r>
              <w:t xml:space="preserve">Les personne ayant une déficience, âgées de 21 ans et plus (dans certains cas pour des jeunes d’au moins 16 ans), qui expriment un intérêt pour occuper un emploi rémunéré sur le marché du travail, qui présentent un potentiel d’employabilité, mais qui ont besoin de poursuivre le développement de leurs habiletés de travail. </w:t>
            </w:r>
          </w:p>
          <w:p w:rsidR="00F331D3" w:rsidRDefault="00F331D3" w:rsidP="00F331D3">
            <w:pPr>
              <w:pStyle w:val="Paragraphedeliste"/>
              <w:jc w:val="both"/>
            </w:pPr>
          </w:p>
        </w:tc>
      </w:tr>
      <w:tr w:rsidR="007D143C" w:rsidRPr="007D143C" w:rsidTr="00F331D3">
        <w:tc>
          <w:tcPr>
            <w:tcW w:w="6550" w:type="dxa"/>
            <w:shd w:val="clear" w:color="auto" w:fill="B6DDE8" w:themeFill="accent5" w:themeFillTint="66"/>
          </w:tcPr>
          <w:p w:rsidR="007D143C" w:rsidRPr="007D143C" w:rsidRDefault="007D143C" w:rsidP="007D143C">
            <w:pPr>
              <w:jc w:val="center"/>
              <w:rPr>
                <w:b/>
              </w:rPr>
            </w:pPr>
            <w:r w:rsidRPr="007D143C">
              <w:rPr>
                <w:b/>
              </w:rPr>
              <w:t>Besoins</w:t>
            </w:r>
          </w:p>
        </w:tc>
        <w:tc>
          <w:tcPr>
            <w:tcW w:w="6550" w:type="dxa"/>
            <w:shd w:val="clear" w:color="auto" w:fill="B6DDE8" w:themeFill="accent5" w:themeFillTint="66"/>
          </w:tcPr>
          <w:p w:rsidR="007D143C" w:rsidRDefault="00F331D3" w:rsidP="00F331D3">
            <w:pPr>
              <w:pStyle w:val="Paragraphedeliste"/>
              <w:numPr>
                <w:ilvl w:val="0"/>
                <w:numId w:val="1"/>
              </w:numPr>
              <w:jc w:val="both"/>
            </w:pPr>
            <w:r>
              <w:t>Acquérir</w:t>
            </w:r>
            <w:r w:rsidRPr="00F331D3">
              <w:t xml:space="preserve"> ou maintenir des habiletés, des comportements ou des attitudes (ponctualité, vitesse d’exécution, respect des directives) qui </w:t>
            </w:r>
            <w:r>
              <w:t>augmentent les possibilités d’intégrer éventuellement le marché du travail;</w:t>
            </w:r>
          </w:p>
          <w:p w:rsidR="00F331D3" w:rsidRDefault="00F331D3" w:rsidP="00F331D3">
            <w:pPr>
              <w:pStyle w:val="Paragraphedeliste"/>
              <w:numPr>
                <w:ilvl w:val="0"/>
                <w:numId w:val="1"/>
              </w:numPr>
              <w:jc w:val="both"/>
            </w:pPr>
            <w:r>
              <w:t>Développer l’autonomie socioprofessionnelle des personnes;</w:t>
            </w:r>
          </w:p>
          <w:p w:rsidR="00F331D3" w:rsidRDefault="00F331D3" w:rsidP="00F331D3">
            <w:pPr>
              <w:pStyle w:val="Paragraphedeliste"/>
              <w:numPr>
                <w:ilvl w:val="0"/>
                <w:numId w:val="1"/>
              </w:numPr>
              <w:jc w:val="both"/>
            </w:pPr>
            <w:r>
              <w:t>Développer des habiletés de travail;</w:t>
            </w:r>
          </w:p>
          <w:p w:rsidR="00F331D3" w:rsidRDefault="00F331D3" w:rsidP="00F331D3">
            <w:pPr>
              <w:pStyle w:val="Paragraphedeliste"/>
              <w:numPr>
                <w:ilvl w:val="0"/>
                <w:numId w:val="1"/>
              </w:numPr>
              <w:jc w:val="both"/>
            </w:pPr>
            <w:r>
              <w:t>Acquérir des connaissances et/ou apprendre un métier.</w:t>
            </w:r>
          </w:p>
          <w:p w:rsidR="00F331D3" w:rsidRPr="00F331D3" w:rsidRDefault="00F331D3" w:rsidP="00F331D3">
            <w:pPr>
              <w:pStyle w:val="Paragraphedeliste"/>
              <w:jc w:val="both"/>
            </w:pPr>
          </w:p>
        </w:tc>
      </w:tr>
      <w:tr w:rsidR="007D143C" w:rsidRPr="007D143C" w:rsidTr="00C674C6">
        <w:tc>
          <w:tcPr>
            <w:tcW w:w="6550" w:type="dxa"/>
            <w:shd w:val="clear" w:color="auto" w:fill="FABF8F" w:themeFill="accent6" w:themeFillTint="99"/>
          </w:tcPr>
          <w:p w:rsidR="007D143C" w:rsidRPr="007D143C" w:rsidRDefault="007D143C" w:rsidP="007D143C">
            <w:pPr>
              <w:jc w:val="center"/>
              <w:rPr>
                <w:b/>
                <w:sz w:val="28"/>
                <w:szCs w:val="28"/>
              </w:rPr>
            </w:pPr>
            <w:r w:rsidRPr="007D143C">
              <w:rPr>
                <w:b/>
                <w:sz w:val="28"/>
                <w:szCs w:val="28"/>
              </w:rPr>
              <w:t>Profil de la personne : insertion et maintien en emploi</w:t>
            </w:r>
          </w:p>
        </w:tc>
        <w:tc>
          <w:tcPr>
            <w:tcW w:w="6550" w:type="dxa"/>
            <w:shd w:val="clear" w:color="auto" w:fill="FABF8F" w:themeFill="accent6" w:themeFillTint="99"/>
          </w:tcPr>
          <w:p w:rsidR="007D143C" w:rsidRDefault="00F331D3" w:rsidP="00F331D3">
            <w:pPr>
              <w:pStyle w:val="Paragraphedeliste"/>
              <w:numPr>
                <w:ilvl w:val="0"/>
                <w:numId w:val="1"/>
              </w:numPr>
              <w:jc w:val="both"/>
            </w:pPr>
            <w:r>
              <w:t>Les personnes ayant une déficience, âgées d’au moins 16 ans, qui sont en mesure d’intégrer le marché du travail régulier ou adapté, avec ou sans l’aide d’une mesure de soutien financier.</w:t>
            </w:r>
          </w:p>
          <w:p w:rsidR="00F331D3" w:rsidRPr="00F331D3" w:rsidRDefault="00F331D3" w:rsidP="00F331D3">
            <w:pPr>
              <w:pStyle w:val="Paragraphedeliste"/>
              <w:jc w:val="both"/>
            </w:pPr>
          </w:p>
        </w:tc>
      </w:tr>
      <w:tr w:rsidR="007D143C" w:rsidRPr="007D143C" w:rsidTr="00C674C6">
        <w:tc>
          <w:tcPr>
            <w:tcW w:w="6550" w:type="dxa"/>
            <w:shd w:val="clear" w:color="auto" w:fill="FBD4B4" w:themeFill="accent6" w:themeFillTint="66"/>
          </w:tcPr>
          <w:p w:rsidR="007D143C" w:rsidRPr="007D143C" w:rsidRDefault="007D143C" w:rsidP="007D143C">
            <w:pPr>
              <w:jc w:val="center"/>
              <w:rPr>
                <w:b/>
              </w:rPr>
            </w:pPr>
            <w:r w:rsidRPr="007D143C">
              <w:rPr>
                <w:b/>
              </w:rPr>
              <w:t>Besoins</w:t>
            </w:r>
          </w:p>
        </w:tc>
        <w:tc>
          <w:tcPr>
            <w:tcW w:w="6550" w:type="dxa"/>
            <w:shd w:val="clear" w:color="auto" w:fill="FBD4B4" w:themeFill="accent6" w:themeFillTint="66"/>
          </w:tcPr>
          <w:p w:rsidR="007D143C" w:rsidRDefault="00F331D3" w:rsidP="00F331D3">
            <w:pPr>
              <w:pStyle w:val="Paragraphedeliste"/>
              <w:numPr>
                <w:ilvl w:val="0"/>
                <w:numId w:val="1"/>
              </w:numPr>
              <w:jc w:val="both"/>
            </w:pPr>
            <w:r>
              <w:t>Obtenir du soutien pour la recherche d’emploi y compris de l’orientation professionnelle et connaissance de ses capacités et des limites;</w:t>
            </w:r>
          </w:p>
          <w:p w:rsidR="00F331D3" w:rsidRDefault="00F331D3" w:rsidP="00F331D3">
            <w:pPr>
              <w:pStyle w:val="Paragraphedeliste"/>
              <w:numPr>
                <w:ilvl w:val="0"/>
                <w:numId w:val="1"/>
              </w:numPr>
              <w:jc w:val="both"/>
            </w:pPr>
            <w:r>
              <w:t>Obtenir du soutien pour l’insertion en emploi;</w:t>
            </w:r>
          </w:p>
          <w:p w:rsidR="00F331D3" w:rsidRDefault="00F331D3" w:rsidP="00F331D3">
            <w:pPr>
              <w:pStyle w:val="Paragraphedeliste"/>
              <w:numPr>
                <w:ilvl w:val="0"/>
                <w:numId w:val="1"/>
              </w:numPr>
              <w:jc w:val="both"/>
            </w:pPr>
            <w:r>
              <w:t>Obtenir du soutien pour le maintien en emploi de la personne.</w:t>
            </w:r>
          </w:p>
          <w:p w:rsidR="00F331D3" w:rsidRPr="00F331D3" w:rsidRDefault="00F331D3" w:rsidP="00F331D3">
            <w:pPr>
              <w:pStyle w:val="Paragraphedeliste"/>
              <w:jc w:val="both"/>
            </w:pPr>
          </w:p>
        </w:tc>
      </w:tr>
    </w:tbl>
    <w:p w:rsidR="007D143C" w:rsidRPr="00F95779" w:rsidRDefault="007D143C" w:rsidP="00F95779">
      <w:pPr>
        <w:spacing w:after="0"/>
        <w:jc w:val="both"/>
      </w:pPr>
    </w:p>
    <w:sectPr w:rsidR="007D143C" w:rsidRPr="00F95779" w:rsidSect="007D143C">
      <w:pgSz w:w="15840" w:h="12240"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35FD"/>
    <w:multiLevelType w:val="hybridMultilevel"/>
    <w:tmpl w:val="86CCC9E0"/>
    <w:lvl w:ilvl="0" w:tplc="4E7A126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4E"/>
    <w:rsid w:val="00013CDB"/>
    <w:rsid w:val="00025537"/>
    <w:rsid w:val="00252463"/>
    <w:rsid w:val="007D143C"/>
    <w:rsid w:val="008B104E"/>
    <w:rsid w:val="00B62659"/>
    <w:rsid w:val="00C674C6"/>
    <w:rsid w:val="00F331D3"/>
    <w:rsid w:val="00F957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D5A4-2D91-EE48-8B28-C220BCE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André Leduc</cp:lastModifiedBy>
  <cp:revision>2</cp:revision>
  <dcterms:created xsi:type="dcterms:W3CDTF">2020-05-24T23:35:00Z</dcterms:created>
  <dcterms:modified xsi:type="dcterms:W3CDTF">2020-05-24T23:35:00Z</dcterms:modified>
</cp:coreProperties>
</file>